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A59D" w14:textId="472FD281" w:rsidR="007E68A7" w:rsidRPr="00300B0B" w:rsidRDefault="007E68A7" w:rsidP="007E68A7">
      <w:pPr>
        <w:ind w:firstLine="720"/>
        <w:jc w:val="center"/>
        <w:rPr>
          <w:color w:val="000000"/>
          <w:sz w:val="24"/>
          <w:szCs w:val="24"/>
        </w:rPr>
      </w:pPr>
      <w:r w:rsidRPr="00300B0B">
        <w:rPr>
          <w:rFonts w:eastAsia="Arial"/>
          <w:b/>
          <w:color w:val="000000"/>
          <w:sz w:val="24"/>
          <w:szCs w:val="24"/>
        </w:rPr>
        <w:t>GSG</w:t>
      </w:r>
      <w:r w:rsidRPr="00300B0B">
        <w:rPr>
          <w:rFonts w:eastAsia="Arial"/>
          <w:b/>
          <w:sz w:val="24"/>
          <w:szCs w:val="24"/>
        </w:rPr>
        <w:t>A40-R</w:t>
      </w:r>
      <w:r w:rsidR="00300B0B" w:rsidRPr="00300B0B">
        <w:rPr>
          <w:rFonts w:eastAsia="Arial"/>
          <w:b/>
          <w:sz w:val="24"/>
          <w:szCs w:val="24"/>
        </w:rPr>
        <w:t>06</w:t>
      </w:r>
    </w:p>
    <w:p w14:paraId="7D323FBD" w14:textId="77777777" w:rsidR="007E68A7" w:rsidRPr="00300B0B" w:rsidRDefault="007E68A7" w:rsidP="007E68A7">
      <w:pPr>
        <w:rPr>
          <w:sz w:val="24"/>
          <w:szCs w:val="24"/>
        </w:rPr>
      </w:pPr>
      <w:r w:rsidRPr="00300B0B">
        <w:rPr>
          <w:color w:val="000000"/>
          <w:sz w:val="24"/>
          <w:szCs w:val="24"/>
        </w:rPr>
        <w:br/>
      </w:r>
    </w:p>
    <w:p w14:paraId="0BC42F59" w14:textId="77777777" w:rsidR="007E68A7" w:rsidRPr="00300B0B" w:rsidRDefault="007E68A7" w:rsidP="007E68A7">
      <w:pPr>
        <w:jc w:val="center"/>
        <w:rPr>
          <w:color w:val="000000"/>
          <w:sz w:val="24"/>
          <w:szCs w:val="24"/>
        </w:rPr>
      </w:pPr>
      <w:r w:rsidRPr="00300B0B">
        <w:rPr>
          <w:rFonts w:eastAsia="Arial"/>
          <w:b/>
          <w:color w:val="000000"/>
          <w:sz w:val="24"/>
          <w:szCs w:val="24"/>
        </w:rPr>
        <w:t>A Resolution Calling for Increased Communication Regarding Supplementary Funding for Graduate Students Impacted by the COVID-19 Pandemic</w:t>
      </w:r>
    </w:p>
    <w:p w14:paraId="00591C36" w14:textId="77777777" w:rsidR="007E68A7" w:rsidRPr="00300B0B" w:rsidRDefault="007E68A7" w:rsidP="007E68A7">
      <w:pPr>
        <w:rPr>
          <w:sz w:val="24"/>
          <w:szCs w:val="24"/>
        </w:rPr>
      </w:pPr>
    </w:p>
    <w:p w14:paraId="759C03E7" w14:textId="77777777" w:rsidR="007E68A7" w:rsidRPr="00300B0B" w:rsidRDefault="007E68A7" w:rsidP="007E68A7">
      <w:pPr>
        <w:spacing w:after="160" w:line="259" w:lineRule="auto"/>
        <w:rPr>
          <w:rFonts w:eastAsia="Calibri"/>
          <w:sz w:val="24"/>
          <w:szCs w:val="24"/>
        </w:rPr>
      </w:pPr>
      <w:r w:rsidRPr="00300B0B">
        <w:rPr>
          <w:b/>
          <w:sz w:val="24"/>
          <w:szCs w:val="24"/>
        </w:rPr>
        <w:t xml:space="preserve">Summary: </w:t>
      </w:r>
      <w:r w:rsidRPr="00300B0B">
        <w:rPr>
          <w:sz w:val="24"/>
          <w:szCs w:val="24"/>
        </w:rPr>
        <w:t xml:space="preserve">The COVID-19 pandemic has led to serious disruptions in graduate study at the University of Maryland since March 2020, including the loss of funding for many graduate students. This has been especially challenging for PhD candidates who are nearing completion of their programs; in many cases, the pandemic has extended their time to graduation through no fault of their own. As a result, they have had to pay unexpected tuition and fees before completing their degrees. Certain University of Maryland units have rightly recognized these challenges and have indicated the possibility of funding for students who face this and similar circumstances. However, information regarding possible supplementary funding has been insufficient. </w:t>
      </w:r>
    </w:p>
    <w:p w14:paraId="7A3028DB" w14:textId="165DD39F" w:rsidR="007E68A7" w:rsidRPr="00300B0B" w:rsidRDefault="007E68A7" w:rsidP="007E68A7">
      <w:pPr>
        <w:rPr>
          <w:sz w:val="24"/>
          <w:szCs w:val="24"/>
        </w:rPr>
      </w:pPr>
      <w:r w:rsidRPr="00300B0B">
        <w:rPr>
          <w:b/>
          <w:sz w:val="24"/>
          <w:szCs w:val="24"/>
        </w:rPr>
        <w:t xml:space="preserve">WHEREAS, </w:t>
      </w:r>
      <w:r w:rsidRPr="00300B0B">
        <w:rPr>
          <w:sz w:val="24"/>
          <w:szCs w:val="24"/>
        </w:rPr>
        <w:t>the UMD Graduate School posted a document titled “Spring 21 Candidacy Tuition Fellowships for PhD Candidates Affected by the 2020 Coronavirus Pandemic” to their website in 2020 (the document was posted by December 21)</w:t>
      </w:r>
      <w:r w:rsidRPr="00300B0B">
        <w:rPr>
          <w:rStyle w:val="FootnoteReference"/>
          <w:sz w:val="24"/>
          <w:szCs w:val="24"/>
        </w:rPr>
        <w:footnoteReference w:id="1"/>
      </w:r>
      <w:r w:rsidR="009F3512">
        <w:rPr>
          <w:sz w:val="24"/>
          <w:szCs w:val="24"/>
        </w:rPr>
        <w:t xml:space="preserve">, but </w:t>
      </w:r>
      <w:r w:rsidRPr="00300B0B">
        <w:rPr>
          <w:sz w:val="24"/>
          <w:szCs w:val="24"/>
        </w:rPr>
        <w:t>the Graduate School has not yet informed graduate students of this fellowship opportunity via email (as of January 21, 2021), and the deadline to apply is listed as February 6, 2021;</w:t>
      </w:r>
      <w:r w:rsidR="009F3512">
        <w:rPr>
          <w:sz w:val="24"/>
          <w:szCs w:val="24"/>
        </w:rPr>
        <w:t xml:space="preserve"> and</w:t>
      </w:r>
    </w:p>
    <w:p w14:paraId="249C4229" w14:textId="77777777" w:rsidR="007E68A7" w:rsidRPr="00300B0B" w:rsidRDefault="007E68A7" w:rsidP="007E68A7">
      <w:pPr>
        <w:rPr>
          <w:b/>
          <w:sz w:val="24"/>
          <w:szCs w:val="24"/>
        </w:rPr>
      </w:pPr>
    </w:p>
    <w:p w14:paraId="19A2E841" w14:textId="47511995" w:rsidR="007E68A7" w:rsidRPr="00300B0B" w:rsidRDefault="007E68A7" w:rsidP="007E68A7">
      <w:pPr>
        <w:rPr>
          <w:sz w:val="24"/>
          <w:szCs w:val="24"/>
        </w:rPr>
      </w:pPr>
      <w:r w:rsidRPr="00300B0B">
        <w:rPr>
          <w:b/>
          <w:sz w:val="24"/>
          <w:szCs w:val="24"/>
        </w:rPr>
        <w:t xml:space="preserve">WHEREAS, </w:t>
      </w:r>
      <w:r w:rsidRPr="00300B0B">
        <w:rPr>
          <w:sz w:val="24"/>
          <w:szCs w:val="24"/>
        </w:rPr>
        <w:t>the College of Arts and Humanities communicated the possibility of relief funding indirectly and inconsistently to students in the middle of January 2021</w:t>
      </w:r>
      <w:r w:rsidRPr="00300B0B">
        <w:rPr>
          <w:rStyle w:val="FootnoteReference"/>
          <w:sz w:val="24"/>
          <w:szCs w:val="24"/>
        </w:rPr>
        <w:footnoteReference w:id="2"/>
      </w:r>
      <w:r w:rsidRPr="00300B0B">
        <w:rPr>
          <w:sz w:val="24"/>
          <w:szCs w:val="24"/>
        </w:rPr>
        <w:t>;</w:t>
      </w:r>
      <w:r w:rsidR="009F3512">
        <w:rPr>
          <w:sz w:val="24"/>
          <w:szCs w:val="24"/>
        </w:rPr>
        <w:t xml:space="preserve"> and</w:t>
      </w:r>
    </w:p>
    <w:p w14:paraId="19B4B26C" w14:textId="77777777" w:rsidR="007E68A7" w:rsidRPr="00300B0B" w:rsidRDefault="007E68A7" w:rsidP="007E68A7">
      <w:pPr>
        <w:rPr>
          <w:b/>
          <w:sz w:val="24"/>
          <w:szCs w:val="24"/>
        </w:rPr>
      </w:pPr>
    </w:p>
    <w:p w14:paraId="442DA48A" w14:textId="563C631A" w:rsidR="007E68A7" w:rsidRPr="00300B0B" w:rsidRDefault="007E68A7" w:rsidP="007E68A7">
      <w:pPr>
        <w:rPr>
          <w:sz w:val="24"/>
          <w:szCs w:val="24"/>
        </w:rPr>
      </w:pPr>
      <w:r w:rsidRPr="00300B0B">
        <w:rPr>
          <w:b/>
          <w:sz w:val="24"/>
          <w:szCs w:val="24"/>
        </w:rPr>
        <w:t xml:space="preserve">WHEREAS, </w:t>
      </w:r>
      <w:r w:rsidRPr="00300B0B">
        <w:rPr>
          <w:sz w:val="24"/>
          <w:szCs w:val="24"/>
        </w:rPr>
        <w:t>payment of tuition and fees can represent a significant financial burden for graduate students who have lost their funding, especially for PhD candidates who are without funding and have had to delay graduation because of the COVID-19 pandemic;</w:t>
      </w:r>
      <w:r w:rsidR="009F3512">
        <w:rPr>
          <w:sz w:val="24"/>
          <w:szCs w:val="24"/>
        </w:rPr>
        <w:t xml:space="preserve"> and</w:t>
      </w:r>
    </w:p>
    <w:p w14:paraId="260E0AAA" w14:textId="77777777" w:rsidR="007E68A7" w:rsidRPr="00300B0B" w:rsidRDefault="007E68A7" w:rsidP="007E68A7">
      <w:pPr>
        <w:rPr>
          <w:b/>
          <w:sz w:val="24"/>
          <w:szCs w:val="24"/>
        </w:rPr>
      </w:pPr>
    </w:p>
    <w:p w14:paraId="03BBEF02" w14:textId="77777777" w:rsidR="007E68A7" w:rsidRPr="00300B0B" w:rsidRDefault="007E68A7" w:rsidP="007E68A7">
      <w:pPr>
        <w:rPr>
          <w:sz w:val="24"/>
          <w:szCs w:val="24"/>
        </w:rPr>
      </w:pPr>
      <w:r w:rsidRPr="00300B0B">
        <w:rPr>
          <w:b/>
          <w:sz w:val="24"/>
          <w:szCs w:val="24"/>
        </w:rPr>
        <w:t xml:space="preserve">WHEREAS, </w:t>
      </w:r>
      <w:r w:rsidRPr="00300B0B">
        <w:rPr>
          <w:sz w:val="24"/>
          <w:szCs w:val="24"/>
        </w:rPr>
        <w:t>the COVID-19 pandemic is still severe and will continue to impede graduate study and threaten graduate funding into the Fall 2021 semester, and likely beyond;</w:t>
      </w:r>
    </w:p>
    <w:p w14:paraId="5BCCCBA2" w14:textId="77777777" w:rsidR="007E68A7" w:rsidRPr="00300B0B" w:rsidRDefault="007E68A7" w:rsidP="007E68A7">
      <w:pPr>
        <w:rPr>
          <w:b/>
          <w:sz w:val="24"/>
          <w:szCs w:val="24"/>
        </w:rPr>
      </w:pPr>
    </w:p>
    <w:p w14:paraId="5AACF0A0" w14:textId="1DC50950" w:rsidR="007E68A7" w:rsidRPr="00300B0B" w:rsidRDefault="007E68A7" w:rsidP="007E68A7">
      <w:pPr>
        <w:rPr>
          <w:sz w:val="24"/>
          <w:szCs w:val="24"/>
        </w:rPr>
      </w:pPr>
      <w:r w:rsidRPr="00300B0B">
        <w:rPr>
          <w:b/>
          <w:sz w:val="24"/>
          <w:szCs w:val="24"/>
        </w:rPr>
        <w:t>THEREFORE, BE IT RESOLVED THAT</w:t>
      </w:r>
      <w:r w:rsidRPr="00300B0B">
        <w:rPr>
          <w:sz w:val="24"/>
          <w:szCs w:val="24"/>
        </w:rPr>
        <w:t xml:space="preserve"> constituent units of the University of Maryland, including the Graduate School and colleges with graduate programs, </w:t>
      </w:r>
      <w:r w:rsidR="009F3512">
        <w:rPr>
          <w:sz w:val="24"/>
          <w:szCs w:val="24"/>
        </w:rPr>
        <w:t xml:space="preserve">should </w:t>
      </w:r>
      <w:r w:rsidRPr="00300B0B">
        <w:rPr>
          <w:sz w:val="24"/>
          <w:szCs w:val="24"/>
        </w:rPr>
        <w:t xml:space="preserve">communicate directly, clearly, repeatedly, and in a timely manner with graduate students about any pandemic-related funding available to them; and   </w:t>
      </w:r>
    </w:p>
    <w:p w14:paraId="3797FDBF" w14:textId="77777777" w:rsidR="007E68A7" w:rsidRPr="00300B0B" w:rsidRDefault="007E68A7" w:rsidP="007E68A7">
      <w:pPr>
        <w:rPr>
          <w:sz w:val="24"/>
          <w:szCs w:val="24"/>
        </w:rPr>
      </w:pPr>
    </w:p>
    <w:p w14:paraId="5CEE5723" w14:textId="09A3572F" w:rsidR="007E68A7" w:rsidRPr="00300B0B" w:rsidRDefault="007E68A7" w:rsidP="007E68A7">
      <w:pPr>
        <w:rPr>
          <w:sz w:val="24"/>
          <w:szCs w:val="24"/>
        </w:rPr>
      </w:pPr>
      <w:r w:rsidRPr="00300B0B">
        <w:rPr>
          <w:b/>
          <w:sz w:val="24"/>
          <w:szCs w:val="24"/>
        </w:rPr>
        <w:t>THEREFORE, BE IT</w:t>
      </w:r>
      <w:r w:rsidR="009F3512">
        <w:rPr>
          <w:b/>
          <w:sz w:val="24"/>
          <w:szCs w:val="24"/>
        </w:rPr>
        <w:t xml:space="preserve"> FURTHER</w:t>
      </w:r>
      <w:r w:rsidRPr="00300B0B">
        <w:rPr>
          <w:b/>
          <w:sz w:val="24"/>
          <w:szCs w:val="24"/>
        </w:rPr>
        <w:t xml:space="preserve"> RESOLVED THAT</w:t>
      </w:r>
      <w:r w:rsidRPr="00300B0B">
        <w:rPr>
          <w:sz w:val="24"/>
          <w:szCs w:val="24"/>
        </w:rPr>
        <w:t xml:space="preserve"> the Graduate School and other units </w:t>
      </w:r>
      <w:r w:rsidR="009F3512">
        <w:rPr>
          <w:sz w:val="24"/>
          <w:szCs w:val="24"/>
        </w:rPr>
        <w:t xml:space="preserve">should </w:t>
      </w:r>
      <w:r w:rsidRPr="00300B0B">
        <w:rPr>
          <w:sz w:val="24"/>
          <w:szCs w:val="24"/>
        </w:rPr>
        <w:t>extend the deadlines they have set for applications for relief funding, allowing graduate students several weeks after official and formal notification of these opportunities; and</w:t>
      </w:r>
    </w:p>
    <w:p w14:paraId="3E91AFE2" w14:textId="77777777" w:rsidR="007E68A7" w:rsidRPr="00300B0B" w:rsidRDefault="007E68A7" w:rsidP="007E68A7">
      <w:pPr>
        <w:rPr>
          <w:b/>
          <w:sz w:val="24"/>
          <w:szCs w:val="24"/>
        </w:rPr>
      </w:pPr>
    </w:p>
    <w:p w14:paraId="76154697" w14:textId="3A47CFD6" w:rsidR="007E68A7" w:rsidRPr="00300B0B" w:rsidRDefault="007E68A7" w:rsidP="007E68A7">
      <w:pPr>
        <w:rPr>
          <w:sz w:val="24"/>
          <w:szCs w:val="24"/>
        </w:rPr>
      </w:pPr>
      <w:r w:rsidRPr="00300B0B">
        <w:rPr>
          <w:b/>
          <w:sz w:val="24"/>
          <w:szCs w:val="24"/>
        </w:rPr>
        <w:t xml:space="preserve">THEREFORE, BE IT </w:t>
      </w:r>
      <w:r w:rsidR="009F3512">
        <w:rPr>
          <w:b/>
          <w:sz w:val="24"/>
          <w:szCs w:val="24"/>
        </w:rPr>
        <w:t xml:space="preserve">FURTHER </w:t>
      </w:r>
      <w:r w:rsidRPr="00300B0B">
        <w:rPr>
          <w:b/>
          <w:sz w:val="24"/>
          <w:szCs w:val="24"/>
        </w:rPr>
        <w:t xml:space="preserve">RESOLVED THAT </w:t>
      </w:r>
      <w:r w:rsidRPr="00300B0B">
        <w:rPr>
          <w:sz w:val="24"/>
          <w:szCs w:val="24"/>
        </w:rPr>
        <w:t xml:space="preserve">the Graduate School and any colleges potentially offering funding </w:t>
      </w:r>
      <w:r w:rsidR="009F3512">
        <w:rPr>
          <w:sz w:val="24"/>
          <w:szCs w:val="24"/>
        </w:rPr>
        <w:t xml:space="preserve">should </w:t>
      </w:r>
      <w:r w:rsidRPr="00300B0B">
        <w:rPr>
          <w:sz w:val="24"/>
          <w:szCs w:val="24"/>
        </w:rPr>
        <w:t>coordinate their efforts, such that graduate students may accurately know and understand the full scope of funding for which they may be eligible and which they may receive; and</w:t>
      </w:r>
    </w:p>
    <w:p w14:paraId="294218BA" w14:textId="77777777" w:rsidR="007E68A7" w:rsidRPr="00300B0B" w:rsidRDefault="007E68A7" w:rsidP="007E68A7">
      <w:pPr>
        <w:rPr>
          <w:bCs/>
          <w:sz w:val="24"/>
          <w:szCs w:val="24"/>
        </w:rPr>
      </w:pPr>
    </w:p>
    <w:p w14:paraId="67BB5370" w14:textId="231C010E" w:rsidR="007E68A7" w:rsidRPr="00300B0B" w:rsidRDefault="007E68A7" w:rsidP="007E68A7">
      <w:pPr>
        <w:rPr>
          <w:sz w:val="24"/>
          <w:szCs w:val="24"/>
        </w:rPr>
      </w:pPr>
      <w:r w:rsidRPr="00300B0B">
        <w:rPr>
          <w:b/>
          <w:sz w:val="24"/>
          <w:szCs w:val="24"/>
        </w:rPr>
        <w:t xml:space="preserve">THEREFORE, BE IT </w:t>
      </w:r>
      <w:r w:rsidR="009F3512">
        <w:rPr>
          <w:b/>
          <w:sz w:val="24"/>
          <w:szCs w:val="24"/>
        </w:rPr>
        <w:t xml:space="preserve">FURTHER </w:t>
      </w:r>
      <w:r w:rsidRPr="00300B0B">
        <w:rPr>
          <w:b/>
          <w:sz w:val="24"/>
          <w:szCs w:val="24"/>
        </w:rPr>
        <w:t>RESOLVED THAT</w:t>
      </w:r>
      <w:r w:rsidRPr="00300B0B">
        <w:rPr>
          <w:sz w:val="24"/>
          <w:szCs w:val="24"/>
        </w:rPr>
        <w:t xml:space="preserve"> the Graduate School and any colleges offering supplementary funding </w:t>
      </w:r>
      <w:r w:rsidR="009F3512">
        <w:rPr>
          <w:sz w:val="24"/>
          <w:szCs w:val="24"/>
        </w:rPr>
        <w:t xml:space="preserve">should </w:t>
      </w:r>
      <w:r w:rsidRPr="00300B0B">
        <w:rPr>
          <w:sz w:val="24"/>
          <w:szCs w:val="24"/>
        </w:rPr>
        <w:t xml:space="preserve">plan to do so for the Fall 2021 semester and any future semesters for which it is appropriate, and communicate to graduate students several months in advance as to the possibility of such funding. </w:t>
      </w:r>
    </w:p>
    <w:p w14:paraId="187CCE8D" w14:textId="77777777" w:rsidR="007E68A7" w:rsidRPr="00300B0B" w:rsidRDefault="007E68A7" w:rsidP="007E68A7">
      <w:pPr>
        <w:rPr>
          <w:sz w:val="24"/>
          <w:szCs w:val="24"/>
        </w:rPr>
      </w:pPr>
    </w:p>
    <w:p w14:paraId="070CA90E" w14:textId="77777777" w:rsidR="007E68A7" w:rsidRPr="00300B0B" w:rsidRDefault="00B63C89" w:rsidP="007E68A7">
      <w:pPr>
        <w:rPr>
          <w:sz w:val="24"/>
          <w:szCs w:val="24"/>
        </w:rPr>
      </w:pPr>
      <w:bookmarkStart w:id="0" w:name="_heading=h.gjdgxs" w:colFirst="0" w:colLast="0"/>
      <w:bookmarkEnd w:id="0"/>
      <w:r>
        <w:rPr>
          <w:noProof/>
          <w:sz w:val="24"/>
          <w:szCs w:val="24"/>
        </w:rPr>
        <w:pict w14:anchorId="332BC656">
          <v:rect id="_x0000_i1025" alt="" style="width:468pt;height:.05pt;mso-width-percent:0;mso-height-percent:0;mso-width-percent:0;mso-height-percent:0" o:hralign="center" o:hrstd="t" o:hr="t" fillcolor="#a0a0a0" stroked="f"/>
        </w:pict>
      </w:r>
    </w:p>
    <w:p w14:paraId="0BBE298C" w14:textId="77777777" w:rsidR="007E68A7" w:rsidRPr="00300B0B" w:rsidRDefault="007E68A7" w:rsidP="007E68A7">
      <w:pPr>
        <w:rPr>
          <w:sz w:val="24"/>
          <w:szCs w:val="24"/>
        </w:rPr>
      </w:pPr>
      <w:r w:rsidRPr="00300B0B">
        <w:rPr>
          <w:color w:val="000000"/>
          <w:sz w:val="24"/>
          <w:szCs w:val="24"/>
        </w:rPr>
        <w:br/>
      </w:r>
    </w:p>
    <w:p w14:paraId="194CA0D3" w14:textId="77777777" w:rsidR="007E68A7" w:rsidRPr="00300B0B" w:rsidRDefault="007E68A7" w:rsidP="007E68A7">
      <w:pPr>
        <w:rPr>
          <w:color w:val="000000"/>
          <w:sz w:val="24"/>
          <w:szCs w:val="24"/>
        </w:rPr>
      </w:pPr>
      <w:r w:rsidRPr="00300B0B">
        <w:rPr>
          <w:rFonts w:eastAsia="Arial"/>
          <w:b/>
          <w:color w:val="000000"/>
          <w:sz w:val="24"/>
          <w:szCs w:val="24"/>
        </w:rPr>
        <w:t xml:space="preserve">Author(s): </w:t>
      </w:r>
      <w:r w:rsidRPr="00300B0B">
        <w:rPr>
          <w:rFonts w:eastAsia="Arial"/>
          <w:color w:val="000000"/>
          <w:sz w:val="24"/>
          <w:szCs w:val="24"/>
        </w:rPr>
        <w:t>Vianna Newman Dennis (ARTH) </w:t>
      </w:r>
    </w:p>
    <w:p w14:paraId="2BC284A3" w14:textId="77777777" w:rsidR="007E68A7" w:rsidRPr="00300B0B" w:rsidRDefault="007E68A7" w:rsidP="007E68A7">
      <w:pPr>
        <w:rPr>
          <w:sz w:val="24"/>
          <w:szCs w:val="24"/>
        </w:rPr>
      </w:pPr>
      <w:r w:rsidRPr="00300B0B">
        <w:rPr>
          <w:color w:val="000000"/>
          <w:sz w:val="24"/>
          <w:szCs w:val="24"/>
        </w:rPr>
        <w:br/>
      </w:r>
    </w:p>
    <w:p w14:paraId="60672DB7" w14:textId="02CE680F" w:rsidR="007E68A7" w:rsidRPr="00300B0B" w:rsidRDefault="007E68A7" w:rsidP="007E68A7">
      <w:pPr>
        <w:rPr>
          <w:rFonts w:eastAsia="Arial"/>
          <w:bCs/>
          <w:color w:val="000000"/>
          <w:sz w:val="24"/>
          <w:szCs w:val="24"/>
        </w:rPr>
      </w:pPr>
      <w:bookmarkStart w:id="1" w:name="_heading=h.30j0zll" w:colFirst="0" w:colLast="0"/>
      <w:bookmarkEnd w:id="1"/>
      <w:r w:rsidRPr="00300B0B">
        <w:rPr>
          <w:rFonts w:eastAsia="Arial"/>
          <w:b/>
          <w:color w:val="000000"/>
          <w:sz w:val="24"/>
          <w:szCs w:val="24"/>
        </w:rPr>
        <w:t xml:space="preserve">Sponsor(s): </w:t>
      </w:r>
      <w:r w:rsidR="00300B0B" w:rsidRPr="00300B0B">
        <w:rPr>
          <w:rFonts w:eastAsia="Arial"/>
          <w:bCs/>
          <w:color w:val="000000"/>
          <w:sz w:val="24"/>
          <w:szCs w:val="24"/>
        </w:rPr>
        <w:t>Simon Sheaff (VPLA)</w:t>
      </w:r>
      <w:r w:rsidR="009F3512">
        <w:rPr>
          <w:rFonts w:eastAsia="Arial"/>
          <w:bCs/>
          <w:color w:val="000000"/>
          <w:sz w:val="24"/>
          <w:szCs w:val="24"/>
        </w:rPr>
        <w:t>, Laura McBride (CHEM)</w:t>
      </w:r>
    </w:p>
    <w:p w14:paraId="7151B0C6" w14:textId="77777777" w:rsidR="007E68A7" w:rsidRPr="00300B0B" w:rsidRDefault="007E68A7" w:rsidP="007E68A7">
      <w:pPr>
        <w:rPr>
          <w:sz w:val="24"/>
          <w:szCs w:val="24"/>
        </w:rPr>
      </w:pPr>
      <w:r w:rsidRPr="00300B0B">
        <w:rPr>
          <w:color w:val="000000"/>
          <w:sz w:val="24"/>
          <w:szCs w:val="24"/>
        </w:rPr>
        <w:br/>
      </w:r>
    </w:p>
    <w:p w14:paraId="65F7A053" w14:textId="77777777" w:rsidR="007E68A7" w:rsidRPr="00300B0B" w:rsidRDefault="007E68A7" w:rsidP="007E68A7">
      <w:pPr>
        <w:rPr>
          <w:color w:val="000000"/>
          <w:sz w:val="24"/>
          <w:szCs w:val="24"/>
        </w:rPr>
      </w:pPr>
      <w:r w:rsidRPr="00300B0B">
        <w:rPr>
          <w:rFonts w:eastAsia="Arial"/>
          <w:b/>
          <w:color w:val="000000"/>
          <w:sz w:val="24"/>
          <w:szCs w:val="24"/>
        </w:rPr>
        <w:t>Date and Time of Submission:</w:t>
      </w:r>
      <w:r w:rsidRPr="00300B0B">
        <w:rPr>
          <w:rFonts w:eastAsia="Arial"/>
          <w:color w:val="000000"/>
          <w:sz w:val="24"/>
          <w:szCs w:val="24"/>
        </w:rPr>
        <w:t xml:space="preserve"> January 21, 2021</w:t>
      </w:r>
    </w:p>
    <w:p w14:paraId="67CE8EDB" w14:textId="77777777" w:rsidR="007E68A7" w:rsidRPr="00300B0B" w:rsidRDefault="007E68A7" w:rsidP="007E68A7">
      <w:pPr>
        <w:rPr>
          <w:sz w:val="24"/>
          <w:szCs w:val="24"/>
        </w:rPr>
      </w:pPr>
      <w:r w:rsidRPr="00300B0B">
        <w:rPr>
          <w:color w:val="000000"/>
          <w:sz w:val="24"/>
          <w:szCs w:val="24"/>
        </w:rPr>
        <w:br/>
      </w:r>
    </w:p>
    <w:p w14:paraId="7A4B4750" w14:textId="0F8D4609" w:rsidR="007E68A7" w:rsidRPr="00300B0B" w:rsidRDefault="007E68A7" w:rsidP="007E68A7">
      <w:pPr>
        <w:rPr>
          <w:color w:val="000000"/>
          <w:sz w:val="24"/>
          <w:szCs w:val="24"/>
        </w:rPr>
      </w:pPr>
      <w:r w:rsidRPr="00300B0B">
        <w:rPr>
          <w:rFonts w:eastAsia="Arial"/>
          <w:b/>
          <w:color w:val="000000"/>
          <w:sz w:val="24"/>
          <w:szCs w:val="24"/>
        </w:rPr>
        <w:t xml:space="preserve">Date of Presentation: </w:t>
      </w:r>
      <w:r w:rsidR="00B63C89">
        <w:rPr>
          <w:rFonts w:eastAsia="Arial"/>
          <w:color w:val="000000"/>
          <w:sz w:val="24"/>
          <w:szCs w:val="24"/>
        </w:rPr>
        <w:t>January 27, 2021</w:t>
      </w:r>
    </w:p>
    <w:p w14:paraId="34FBCD83" w14:textId="77777777" w:rsidR="007E68A7" w:rsidRPr="00300B0B" w:rsidRDefault="007E68A7" w:rsidP="007E68A7">
      <w:pPr>
        <w:rPr>
          <w:sz w:val="24"/>
          <w:szCs w:val="24"/>
        </w:rPr>
      </w:pPr>
      <w:r w:rsidRPr="00300B0B">
        <w:rPr>
          <w:color w:val="000000"/>
          <w:sz w:val="24"/>
          <w:szCs w:val="24"/>
        </w:rPr>
        <w:br/>
      </w:r>
      <w:r w:rsidRPr="00300B0B">
        <w:rPr>
          <w:color w:val="000000"/>
          <w:sz w:val="24"/>
          <w:szCs w:val="24"/>
        </w:rPr>
        <w:br/>
      </w:r>
    </w:p>
    <w:p w14:paraId="3B07E166" w14:textId="77777777" w:rsidR="007E68A7" w:rsidRPr="00300B0B" w:rsidRDefault="007E68A7" w:rsidP="007E68A7">
      <w:pPr>
        <w:rPr>
          <w:color w:val="000000"/>
          <w:sz w:val="24"/>
          <w:szCs w:val="24"/>
        </w:rPr>
      </w:pPr>
      <w:r w:rsidRPr="00300B0B">
        <w:rPr>
          <w:rFonts w:eastAsia="Arial"/>
          <w:b/>
          <w:color w:val="000000"/>
          <w:sz w:val="24"/>
          <w:szCs w:val="24"/>
        </w:rPr>
        <w:t>Action(s) Taken:</w:t>
      </w:r>
    </w:p>
    <w:p w14:paraId="385ED27B" w14:textId="7DC464FA" w:rsidR="007E68A7" w:rsidRPr="00300B0B" w:rsidRDefault="007E68A7" w:rsidP="00C64BBE">
      <w:pPr>
        <w:jc w:val="center"/>
        <w:rPr>
          <w:sz w:val="24"/>
          <w:szCs w:val="24"/>
        </w:rPr>
      </w:pPr>
      <w:r w:rsidRPr="00300B0B">
        <w:rPr>
          <w:color w:val="000000"/>
          <w:sz w:val="24"/>
          <w:szCs w:val="24"/>
        </w:rPr>
        <w:br/>
      </w:r>
      <w:r w:rsidRPr="00300B0B">
        <w:rPr>
          <w:color w:val="000000"/>
          <w:sz w:val="24"/>
          <w:szCs w:val="24"/>
        </w:rPr>
        <w:br/>
      </w:r>
      <w:r w:rsidR="00C64BBE">
        <w:rPr>
          <w:sz w:val="24"/>
          <w:szCs w:val="24"/>
        </w:rPr>
        <w:t>APPROVED</w:t>
      </w:r>
    </w:p>
    <w:p w14:paraId="6C4E074A" w14:textId="77777777" w:rsidR="00CC5769" w:rsidRDefault="00CC5769">
      <w:r>
        <w:rPr>
          <w:rFonts w:eastAsia="Arial"/>
          <w:color w:val="000000"/>
          <w:sz w:val="24"/>
          <w:szCs w:val="24"/>
        </w:rPr>
        <w:t>______________________________________________________________________________</w:t>
      </w:r>
    </w:p>
    <w:p w14:paraId="0D3D5E40" w14:textId="2494675C" w:rsidR="007E68A7" w:rsidRPr="00300B0B" w:rsidRDefault="007E68A7" w:rsidP="007E68A7">
      <w:pPr>
        <w:ind w:firstLine="720"/>
        <w:jc w:val="center"/>
        <w:rPr>
          <w:color w:val="000000"/>
          <w:sz w:val="24"/>
          <w:szCs w:val="24"/>
        </w:rPr>
      </w:pPr>
      <w:r w:rsidRPr="00300B0B">
        <w:rPr>
          <w:rFonts w:eastAsia="Arial"/>
          <w:color w:val="000000"/>
          <w:sz w:val="24"/>
          <w:szCs w:val="24"/>
        </w:rPr>
        <w:t>Decision of GSG President</w:t>
      </w:r>
    </w:p>
    <w:p w14:paraId="06556EC8" w14:textId="130C2BC4" w:rsidR="007E68A7" w:rsidRPr="00300B0B" w:rsidRDefault="00C64BBE" w:rsidP="00C64BBE">
      <w:pPr>
        <w:jc w:val="right"/>
        <w:rPr>
          <w:sz w:val="24"/>
          <w:szCs w:val="24"/>
        </w:rPr>
      </w:pPr>
      <w:r>
        <w:rPr>
          <w:noProof/>
          <w:color w:val="000000"/>
          <w:bdr w:val="none" w:sz="0" w:space="0" w:color="auto" w:frame="1"/>
        </w:rPr>
        <w:drawing>
          <wp:anchor distT="0" distB="0" distL="114300" distR="114300" simplePos="0" relativeHeight="251658240" behindDoc="0" locked="0" layoutInCell="1" allowOverlap="1" wp14:anchorId="1C1E1B38" wp14:editId="2064B85F">
            <wp:simplePos x="0" y="0"/>
            <wp:positionH relativeFrom="column">
              <wp:posOffset>624840</wp:posOffset>
            </wp:positionH>
            <wp:positionV relativeFrom="paragraph">
              <wp:posOffset>198755</wp:posOffset>
            </wp:positionV>
            <wp:extent cx="143256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495300"/>
                    </a:xfrm>
                    <a:prstGeom prst="rect">
                      <a:avLst/>
                    </a:prstGeom>
                    <a:noFill/>
                    <a:ln>
                      <a:noFill/>
                    </a:ln>
                  </pic:spPr>
                </pic:pic>
              </a:graphicData>
            </a:graphic>
          </wp:anchor>
        </w:drawing>
      </w:r>
      <w:r w:rsidR="007E68A7" w:rsidRPr="00300B0B">
        <w:rPr>
          <w:color w:val="000000"/>
          <w:sz w:val="24"/>
          <w:szCs w:val="24"/>
        </w:rPr>
        <w:br/>
      </w:r>
      <w:r w:rsidR="007E68A7" w:rsidRPr="00300B0B">
        <w:rPr>
          <w:color w:val="000000"/>
          <w:sz w:val="24"/>
          <w:szCs w:val="24"/>
        </w:rPr>
        <w:br/>
      </w:r>
      <w:r>
        <w:rPr>
          <w:sz w:val="24"/>
          <w:szCs w:val="24"/>
        </w:rPr>
        <w:t>January 27, 2021</w:t>
      </w:r>
    </w:p>
    <w:p w14:paraId="1687A49C" w14:textId="77777777" w:rsidR="007E68A7" w:rsidRPr="00300B0B" w:rsidRDefault="007E68A7" w:rsidP="007E68A7">
      <w:pPr>
        <w:rPr>
          <w:color w:val="000000"/>
          <w:sz w:val="24"/>
          <w:szCs w:val="24"/>
        </w:rPr>
      </w:pPr>
      <w:r w:rsidRPr="00300B0B">
        <w:rPr>
          <w:rFonts w:eastAsia="Arial"/>
          <w:color w:val="000000"/>
          <w:sz w:val="24"/>
          <w:szCs w:val="24"/>
        </w:rPr>
        <w:t>______________________________________          ___________________________________</w:t>
      </w:r>
    </w:p>
    <w:p w14:paraId="6CC29FC1" w14:textId="77777777" w:rsidR="007E68A7" w:rsidRPr="00300B0B" w:rsidRDefault="007E68A7" w:rsidP="007E68A7">
      <w:pPr>
        <w:ind w:firstLine="720"/>
        <w:rPr>
          <w:color w:val="000000"/>
          <w:sz w:val="24"/>
          <w:szCs w:val="24"/>
        </w:rPr>
      </w:pPr>
      <w:r w:rsidRPr="00300B0B">
        <w:rPr>
          <w:rFonts w:eastAsia="Arial"/>
          <w:color w:val="000000"/>
          <w:sz w:val="24"/>
          <w:szCs w:val="24"/>
        </w:rPr>
        <w:t>Signature of GSG President                        Date</w:t>
      </w:r>
    </w:p>
    <w:p w14:paraId="09B6940A" w14:textId="60DC28B6" w:rsidR="007811E4" w:rsidRPr="00300B0B" w:rsidRDefault="007E68A7" w:rsidP="00972059">
      <w:pPr>
        <w:rPr>
          <w:sz w:val="24"/>
          <w:szCs w:val="24"/>
        </w:rPr>
      </w:pPr>
      <w:r w:rsidRPr="00300B0B">
        <w:rPr>
          <w:color w:val="000000"/>
          <w:sz w:val="24"/>
          <w:szCs w:val="24"/>
        </w:rPr>
        <w:br/>
      </w:r>
    </w:p>
    <w:sectPr w:rsidR="007811E4" w:rsidRPr="00300B0B" w:rsidSect="00A67BC7">
      <w:headerReference w:type="default" r:id="rId9"/>
      <w:pgSz w:w="12240" w:h="15840" w:code="1"/>
      <w:pgMar w:top="1440" w:right="1440" w:bottom="1440" w:left="1440" w:header="720" w:footer="1008" w:gutter="0"/>
      <w:lnNumType w:countBy="1"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004AB" w14:textId="77777777" w:rsidR="00DA23A3" w:rsidRDefault="00DA23A3">
      <w:r>
        <w:separator/>
      </w:r>
    </w:p>
  </w:endnote>
  <w:endnote w:type="continuationSeparator" w:id="0">
    <w:p w14:paraId="5DD668CC" w14:textId="77777777" w:rsidR="00DA23A3" w:rsidRDefault="00DA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EAA59" w14:textId="77777777" w:rsidR="00DA23A3" w:rsidRDefault="00DA23A3">
      <w:r>
        <w:separator/>
      </w:r>
    </w:p>
  </w:footnote>
  <w:footnote w:type="continuationSeparator" w:id="0">
    <w:p w14:paraId="5A48A063" w14:textId="77777777" w:rsidR="00DA23A3" w:rsidRDefault="00DA23A3">
      <w:r>
        <w:continuationSeparator/>
      </w:r>
    </w:p>
  </w:footnote>
  <w:footnote w:id="1">
    <w:p w14:paraId="6BCAE322" w14:textId="77777777" w:rsidR="007E68A7" w:rsidRDefault="007E68A7" w:rsidP="007E68A7">
      <w:pPr>
        <w:pStyle w:val="FootnoteText"/>
      </w:pPr>
      <w:r>
        <w:rPr>
          <w:rStyle w:val="FootnoteReference"/>
        </w:rPr>
        <w:footnoteRef/>
      </w:r>
      <w:r>
        <w:t xml:space="preserve"> The document and application states: “</w:t>
      </w:r>
      <w:r w:rsidRPr="00527959">
        <w:t>The Graduate School will offer a limited number of fellowships for candidacy tuition and mandatory fees</w:t>
      </w:r>
      <w:r>
        <w:t xml:space="preserve"> </w:t>
      </w:r>
      <w:r w:rsidRPr="00527959">
        <w:t>in Spring 2021 to students whose dissertation research was seriously interrupted by the pandemic and who</w:t>
      </w:r>
      <w:r>
        <w:t xml:space="preserve"> </w:t>
      </w:r>
      <w:r w:rsidRPr="00527959">
        <w:t>have no funding that would provide for tuition remission.  Costs will be shared equally between the unit,</w:t>
      </w:r>
      <w:r>
        <w:t xml:space="preserve"> </w:t>
      </w:r>
      <w:r w:rsidRPr="00527959">
        <w:t>the Graduate School, and the campus—one-third each.</w:t>
      </w:r>
      <w:r>
        <w:t>”</w:t>
      </w:r>
    </w:p>
    <w:p w14:paraId="61788F41" w14:textId="77777777" w:rsidR="007E68A7" w:rsidRDefault="007E68A7" w:rsidP="007E68A7">
      <w:pPr>
        <w:pStyle w:val="FootnoteText"/>
      </w:pPr>
    </w:p>
  </w:footnote>
  <w:footnote w:id="2">
    <w:p w14:paraId="691C8CD9" w14:textId="77777777" w:rsidR="007E68A7" w:rsidRPr="00580723" w:rsidRDefault="007E68A7" w:rsidP="007E68A7">
      <w:pPr>
        <w:pStyle w:val="FootnoteText"/>
      </w:pPr>
      <w:r>
        <w:rPr>
          <w:rStyle w:val="FootnoteReference"/>
        </w:rPr>
        <w:footnoteRef/>
      </w:r>
      <w:r>
        <w:t xml:space="preserve"> The information from ARHU was relayed via directors of graduate studies, e.g. in an email sent to graduate students in the Department of Art History &amp; Archaeology on January 15, 2021. The relayed statement included: “</w:t>
      </w:r>
      <w:r w:rsidRPr="00580723">
        <w:t>At this time we are collecting information so that we can estimate and advocate for the funding that would be needed to provide the fellowships. We cannot guarantee that any or all will receive funding.</w:t>
      </w:r>
      <w:r>
        <w:t>” The email requested that interested students respond with their information by January 18.</w:t>
      </w:r>
    </w:p>
    <w:p w14:paraId="075451AE" w14:textId="77777777" w:rsidR="007E68A7" w:rsidRPr="00580723" w:rsidRDefault="007E68A7" w:rsidP="007E68A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8555" w14:textId="5B360522" w:rsidR="00F67280" w:rsidRDefault="00F67280" w:rsidP="009F3512">
    <w:pPr>
      <w:jc w:val="right"/>
    </w:pPr>
    <w:r>
      <w:t>GSGA40-</w:t>
    </w:r>
    <w:r w:rsidR="00300B0B">
      <w:t>R0</w:t>
    </w:r>
    <w:r w:rsidR="009F3512">
      <w:t>6</w:t>
    </w:r>
    <w:r>
      <w:t>:</w:t>
    </w:r>
    <w:r>
      <w:fldChar w:fldCharType="begin"/>
    </w:r>
    <w:r>
      <w:instrText xml:space="preserve"> PAGE </w:instrText>
    </w:r>
    <w:r>
      <w:fldChar w:fldCharType="separate"/>
    </w:r>
    <w:r>
      <w:rPr>
        <w:noProof/>
      </w:rPr>
      <w:t>1</w:t>
    </w:r>
    <w:r>
      <w:rPr>
        <w:noProof/>
      </w:rPr>
      <w:fldChar w:fldCharType="end"/>
    </w:r>
    <w:r>
      <w:t xml:space="preserve">/ </w:t>
    </w:r>
    <w:r>
      <w:rPr>
        <w:noProof/>
      </w:rPr>
      <w:fldChar w:fldCharType="begin"/>
    </w:r>
    <w:r>
      <w:rPr>
        <w:noProof/>
      </w:rPr>
      <w:instrText xml:space="preserve"> NUMPAGES  </w:instrText>
    </w:r>
    <w:r>
      <w:rPr>
        <w:noProof/>
      </w:rP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F1F2A"/>
    <w:multiLevelType w:val="hybridMultilevel"/>
    <w:tmpl w:val="F7FC0FC0"/>
    <w:lvl w:ilvl="0" w:tplc="0BDEA294">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55486F"/>
    <w:multiLevelType w:val="hybridMultilevel"/>
    <w:tmpl w:val="923C9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B52EF"/>
    <w:multiLevelType w:val="hybridMultilevel"/>
    <w:tmpl w:val="B8AC52A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107B6518"/>
    <w:multiLevelType w:val="hybridMultilevel"/>
    <w:tmpl w:val="0B82EE6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10A24350"/>
    <w:multiLevelType w:val="hybridMultilevel"/>
    <w:tmpl w:val="39F4CB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0A94BE3"/>
    <w:multiLevelType w:val="hybridMultilevel"/>
    <w:tmpl w:val="A14C57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5B74641"/>
    <w:multiLevelType w:val="hybridMultilevel"/>
    <w:tmpl w:val="EA764A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A2B1C8E"/>
    <w:multiLevelType w:val="hybridMultilevel"/>
    <w:tmpl w:val="B8AC52A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1B391E49"/>
    <w:multiLevelType w:val="hybridMultilevel"/>
    <w:tmpl w:val="AE84B4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9F2C6B"/>
    <w:multiLevelType w:val="hybridMultilevel"/>
    <w:tmpl w:val="7474EB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615503"/>
    <w:multiLevelType w:val="hybridMultilevel"/>
    <w:tmpl w:val="3A2AC52E"/>
    <w:lvl w:ilvl="0" w:tplc="31C6C8A0">
      <w:start w:val="2"/>
      <w:numFmt w:val="decimal"/>
      <w:lvlText w:val="%1."/>
      <w:lvlJc w:val="left"/>
      <w:pPr>
        <w:tabs>
          <w:tab w:val="num" w:pos="360"/>
        </w:tabs>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09771A6"/>
    <w:multiLevelType w:val="hybridMultilevel"/>
    <w:tmpl w:val="920EC7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4685FA5"/>
    <w:multiLevelType w:val="hybridMultilevel"/>
    <w:tmpl w:val="85B4BF98"/>
    <w:lvl w:ilvl="0" w:tplc="04090019">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EC0C86"/>
    <w:multiLevelType w:val="hybridMultilevel"/>
    <w:tmpl w:val="326243AA"/>
    <w:lvl w:ilvl="0" w:tplc="3C6EBC6A">
      <w:start w:val="1"/>
      <w:numFmt w:val="lowerLetter"/>
      <w:lvlText w:val="%1)"/>
      <w:lvlJc w:val="left"/>
      <w:pPr>
        <w:tabs>
          <w:tab w:val="num" w:pos="1080"/>
        </w:tabs>
        <w:ind w:left="1080" w:hanging="360"/>
      </w:pPr>
      <w:rPr>
        <w:rFonts w:hint="default"/>
        <w:b w:val="0"/>
      </w:rPr>
    </w:lvl>
    <w:lvl w:ilvl="1" w:tplc="811EE860">
      <w:start w:val="1"/>
      <w:numFmt w:val="lowerRoman"/>
      <w:lvlText w:val="%2."/>
      <w:lvlJc w:val="righ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6F758A"/>
    <w:multiLevelType w:val="hybridMultilevel"/>
    <w:tmpl w:val="FCC23F9A"/>
    <w:lvl w:ilvl="0" w:tplc="04090019">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E16114"/>
    <w:multiLevelType w:val="hybridMultilevel"/>
    <w:tmpl w:val="30FE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17FAF"/>
    <w:multiLevelType w:val="multilevel"/>
    <w:tmpl w:val="46A0D7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D71832"/>
    <w:multiLevelType w:val="hybridMultilevel"/>
    <w:tmpl w:val="252EAAF4"/>
    <w:lvl w:ilvl="0" w:tplc="04090019">
      <w:start w:val="1"/>
      <w:numFmt w:val="lowerLetter"/>
      <w:lvlText w:val="%1."/>
      <w:lvlJc w:val="left"/>
      <w:pPr>
        <w:tabs>
          <w:tab w:val="num" w:pos="1080"/>
        </w:tabs>
        <w:ind w:left="1080" w:hanging="360"/>
      </w:pPr>
      <w:rPr>
        <w:rFonts w:hint="default"/>
        <w:b w:val="0"/>
      </w:rPr>
    </w:lvl>
    <w:lvl w:ilvl="1" w:tplc="811EE860">
      <w:start w:val="1"/>
      <w:numFmt w:val="lowerRoman"/>
      <w:lvlText w:val="%2."/>
      <w:lvlJc w:val="righ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1849C5"/>
    <w:multiLevelType w:val="hybridMultilevel"/>
    <w:tmpl w:val="B7D60014"/>
    <w:lvl w:ilvl="0" w:tplc="04090019">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4D6AC9"/>
    <w:multiLevelType w:val="hybridMultilevel"/>
    <w:tmpl w:val="E19258C0"/>
    <w:lvl w:ilvl="0" w:tplc="14543DB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E43E0"/>
    <w:multiLevelType w:val="hybridMultilevel"/>
    <w:tmpl w:val="5E20892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15:restartNumberingAfterBreak="0">
    <w:nsid w:val="527815DC"/>
    <w:multiLevelType w:val="hybridMultilevel"/>
    <w:tmpl w:val="A14C57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C085B83"/>
    <w:multiLevelType w:val="hybridMultilevel"/>
    <w:tmpl w:val="2F206382"/>
    <w:lvl w:ilvl="0" w:tplc="FFFFFFFF">
      <w:numFmt w:val="bullet"/>
      <w:lvlText w:val=""/>
      <w:lvlJc w:val="left"/>
      <w:pPr>
        <w:tabs>
          <w:tab w:val="num" w:pos="2880"/>
        </w:tabs>
        <w:ind w:left="2880" w:hanging="720"/>
      </w:pPr>
      <w:rPr>
        <w:rFonts w:ascii="Symbol" w:eastAsia="Times New Roman" w:hAnsi="Symbol" w:cs="Times New Roman"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5FAC0F7C"/>
    <w:multiLevelType w:val="hybridMultilevel"/>
    <w:tmpl w:val="D8001364"/>
    <w:lvl w:ilvl="0" w:tplc="22CA2BA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11E6C"/>
    <w:multiLevelType w:val="hybridMultilevel"/>
    <w:tmpl w:val="A5728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E0D2F88"/>
    <w:multiLevelType w:val="hybridMultilevel"/>
    <w:tmpl w:val="CDE44B38"/>
    <w:lvl w:ilvl="0" w:tplc="23D86122">
      <w:start w:val="9"/>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F739EB"/>
    <w:multiLevelType w:val="hybridMultilevel"/>
    <w:tmpl w:val="124069DA"/>
    <w:lvl w:ilvl="0" w:tplc="F8268C34">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A364FA"/>
    <w:multiLevelType w:val="hybridMultilevel"/>
    <w:tmpl w:val="ADC6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85789"/>
    <w:multiLevelType w:val="hybridMultilevel"/>
    <w:tmpl w:val="CE96CE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EA719B3"/>
    <w:multiLevelType w:val="hybridMultilevel"/>
    <w:tmpl w:val="790A1842"/>
    <w:lvl w:ilvl="0" w:tplc="340893EC">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23"/>
  </w:num>
  <w:num w:numId="3">
    <w:abstractNumId w:val="19"/>
  </w:num>
  <w:num w:numId="4">
    <w:abstractNumId w:val="8"/>
  </w:num>
  <w:num w:numId="5">
    <w:abstractNumId w:val="1"/>
  </w:num>
  <w:num w:numId="6">
    <w:abstractNumId w:val="11"/>
  </w:num>
  <w:num w:numId="7">
    <w:abstractNumId w:val="20"/>
  </w:num>
  <w:num w:numId="8">
    <w:abstractNumId w:val="25"/>
  </w:num>
  <w:num w:numId="9">
    <w:abstractNumId w:val="16"/>
  </w:num>
  <w:num w:numId="10">
    <w:abstractNumId w:val="3"/>
  </w:num>
  <w:num w:numId="11">
    <w:abstractNumId w:val="28"/>
  </w:num>
  <w:num w:numId="12">
    <w:abstractNumId w:val="24"/>
  </w:num>
  <w:num w:numId="13">
    <w:abstractNumId w:val="26"/>
  </w:num>
  <w:num w:numId="14">
    <w:abstractNumId w:val="13"/>
  </w:num>
  <w:num w:numId="15">
    <w:abstractNumId w:val="17"/>
  </w:num>
  <w:num w:numId="16">
    <w:abstractNumId w:val="0"/>
  </w:num>
  <w:num w:numId="17">
    <w:abstractNumId w:val="18"/>
  </w:num>
  <w:num w:numId="18">
    <w:abstractNumId w:val="29"/>
  </w:num>
  <w:num w:numId="19">
    <w:abstractNumId w:val="12"/>
  </w:num>
  <w:num w:numId="20">
    <w:abstractNumId w:val="21"/>
  </w:num>
  <w:num w:numId="21">
    <w:abstractNumId w:val="2"/>
  </w:num>
  <w:num w:numId="22">
    <w:abstractNumId w:val="4"/>
  </w:num>
  <w:num w:numId="23">
    <w:abstractNumId w:val="6"/>
  </w:num>
  <w:num w:numId="24">
    <w:abstractNumId w:val="27"/>
  </w:num>
  <w:num w:numId="25">
    <w:abstractNumId w:val="15"/>
  </w:num>
  <w:num w:numId="26">
    <w:abstractNumId w:val="5"/>
  </w:num>
  <w:num w:numId="27">
    <w:abstractNumId w:val="7"/>
  </w:num>
  <w:num w:numId="28">
    <w:abstractNumId w:val="10"/>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TMyMDU2NzY0tDRQ0lEKTi0uzszPAykwqgUAbGB7qCwAAAA="/>
  </w:docVars>
  <w:rsids>
    <w:rsidRoot w:val="0017144F"/>
    <w:rsid w:val="00006591"/>
    <w:rsid w:val="00027FDD"/>
    <w:rsid w:val="00040684"/>
    <w:rsid w:val="0005747D"/>
    <w:rsid w:val="000833EA"/>
    <w:rsid w:val="000B1042"/>
    <w:rsid w:val="000C6AA9"/>
    <w:rsid w:val="000C7653"/>
    <w:rsid w:val="000C7CA9"/>
    <w:rsid w:val="000E55B8"/>
    <w:rsid w:val="000F1283"/>
    <w:rsid w:val="000F2864"/>
    <w:rsid w:val="001033ED"/>
    <w:rsid w:val="00160313"/>
    <w:rsid w:val="0017144F"/>
    <w:rsid w:val="00183E8A"/>
    <w:rsid w:val="001C0042"/>
    <w:rsid w:val="001C14D9"/>
    <w:rsid w:val="001C2963"/>
    <w:rsid w:val="001D2A3E"/>
    <w:rsid w:val="001F5128"/>
    <w:rsid w:val="001F674A"/>
    <w:rsid w:val="00234663"/>
    <w:rsid w:val="002470AC"/>
    <w:rsid w:val="0025332A"/>
    <w:rsid w:val="00290647"/>
    <w:rsid w:val="002A1CC2"/>
    <w:rsid w:val="002C0D74"/>
    <w:rsid w:val="002C1EC2"/>
    <w:rsid w:val="002D0BD9"/>
    <w:rsid w:val="00300B0B"/>
    <w:rsid w:val="0030647F"/>
    <w:rsid w:val="00307770"/>
    <w:rsid w:val="00314CBB"/>
    <w:rsid w:val="003276A1"/>
    <w:rsid w:val="003579F6"/>
    <w:rsid w:val="00381D09"/>
    <w:rsid w:val="00390891"/>
    <w:rsid w:val="003C2C47"/>
    <w:rsid w:val="003E55A9"/>
    <w:rsid w:val="003F0F08"/>
    <w:rsid w:val="00402F8B"/>
    <w:rsid w:val="0040766F"/>
    <w:rsid w:val="00417EB1"/>
    <w:rsid w:val="00433FA2"/>
    <w:rsid w:val="00454E9C"/>
    <w:rsid w:val="00470DD7"/>
    <w:rsid w:val="004B302F"/>
    <w:rsid w:val="004B3687"/>
    <w:rsid w:val="004B780D"/>
    <w:rsid w:val="004C619F"/>
    <w:rsid w:val="004F129C"/>
    <w:rsid w:val="004F3F57"/>
    <w:rsid w:val="00504925"/>
    <w:rsid w:val="00532A10"/>
    <w:rsid w:val="00542A72"/>
    <w:rsid w:val="00592AA5"/>
    <w:rsid w:val="005D3E9E"/>
    <w:rsid w:val="005E27EB"/>
    <w:rsid w:val="005F1006"/>
    <w:rsid w:val="00604A2D"/>
    <w:rsid w:val="00605D56"/>
    <w:rsid w:val="006319FD"/>
    <w:rsid w:val="00633EE2"/>
    <w:rsid w:val="00641B12"/>
    <w:rsid w:val="0065508C"/>
    <w:rsid w:val="00683003"/>
    <w:rsid w:val="006A52BA"/>
    <w:rsid w:val="006B152B"/>
    <w:rsid w:val="006D686A"/>
    <w:rsid w:val="006F4200"/>
    <w:rsid w:val="007004B8"/>
    <w:rsid w:val="00700BCE"/>
    <w:rsid w:val="00727CB0"/>
    <w:rsid w:val="00732584"/>
    <w:rsid w:val="007516DE"/>
    <w:rsid w:val="007611F2"/>
    <w:rsid w:val="007811E4"/>
    <w:rsid w:val="00787D49"/>
    <w:rsid w:val="00793699"/>
    <w:rsid w:val="007A32B4"/>
    <w:rsid w:val="007B589B"/>
    <w:rsid w:val="007D6185"/>
    <w:rsid w:val="007D7313"/>
    <w:rsid w:val="007E68A7"/>
    <w:rsid w:val="00800422"/>
    <w:rsid w:val="00821447"/>
    <w:rsid w:val="00824A2A"/>
    <w:rsid w:val="00841349"/>
    <w:rsid w:val="00846DD5"/>
    <w:rsid w:val="00847030"/>
    <w:rsid w:val="00862931"/>
    <w:rsid w:val="008705B2"/>
    <w:rsid w:val="00877052"/>
    <w:rsid w:val="008F6168"/>
    <w:rsid w:val="00922349"/>
    <w:rsid w:val="00960A16"/>
    <w:rsid w:val="00972059"/>
    <w:rsid w:val="00982D51"/>
    <w:rsid w:val="00984282"/>
    <w:rsid w:val="009A0547"/>
    <w:rsid w:val="009C638B"/>
    <w:rsid w:val="009F3512"/>
    <w:rsid w:val="009F6BDE"/>
    <w:rsid w:val="00A066C9"/>
    <w:rsid w:val="00A23D15"/>
    <w:rsid w:val="00A3765E"/>
    <w:rsid w:val="00A545CB"/>
    <w:rsid w:val="00A5673F"/>
    <w:rsid w:val="00A636DD"/>
    <w:rsid w:val="00A67BC7"/>
    <w:rsid w:val="00A72EA2"/>
    <w:rsid w:val="00A76D5C"/>
    <w:rsid w:val="00AA43D7"/>
    <w:rsid w:val="00AB4337"/>
    <w:rsid w:val="00AD13EB"/>
    <w:rsid w:val="00B26766"/>
    <w:rsid w:val="00B30232"/>
    <w:rsid w:val="00B31E94"/>
    <w:rsid w:val="00B33E02"/>
    <w:rsid w:val="00B63C89"/>
    <w:rsid w:val="00B6599C"/>
    <w:rsid w:val="00B67A66"/>
    <w:rsid w:val="00B67E5C"/>
    <w:rsid w:val="00B86259"/>
    <w:rsid w:val="00BB3A46"/>
    <w:rsid w:val="00BD2434"/>
    <w:rsid w:val="00BE231B"/>
    <w:rsid w:val="00BE72DE"/>
    <w:rsid w:val="00BF30A0"/>
    <w:rsid w:val="00C0035B"/>
    <w:rsid w:val="00C231CF"/>
    <w:rsid w:val="00C4198A"/>
    <w:rsid w:val="00C44D58"/>
    <w:rsid w:val="00C64BBE"/>
    <w:rsid w:val="00CA4816"/>
    <w:rsid w:val="00CB040B"/>
    <w:rsid w:val="00CC5769"/>
    <w:rsid w:val="00CF41B9"/>
    <w:rsid w:val="00CF4E88"/>
    <w:rsid w:val="00D06ED6"/>
    <w:rsid w:val="00D143B5"/>
    <w:rsid w:val="00D30D5B"/>
    <w:rsid w:val="00D9063B"/>
    <w:rsid w:val="00D90A66"/>
    <w:rsid w:val="00D942BF"/>
    <w:rsid w:val="00D96194"/>
    <w:rsid w:val="00DA0163"/>
    <w:rsid w:val="00DA23A3"/>
    <w:rsid w:val="00DA5C84"/>
    <w:rsid w:val="00DB1524"/>
    <w:rsid w:val="00DE02FC"/>
    <w:rsid w:val="00DE77E2"/>
    <w:rsid w:val="00E02AC1"/>
    <w:rsid w:val="00E11D37"/>
    <w:rsid w:val="00E259CA"/>
    <w:rsid w:val="00E35605"/>
    <w:rsid w:val="00E73EDB"/>
    <w:rsid w:val="00E7513B"/>
    <w:rsid w:val="00E91FE3"/>
    <w:rsid w:val="00E97A7C"/>
    <w:rsid w:val="00EA7162"/>
    <w:rsid w:val="00EA71AA"/>
    <w:rsid w:val="00ED04CD"/>
    <w:rsid w:val="00ED7A07"/>
    <w:rsid w:val="00F011C0"/>
    <w:rsid w:val="00F14A9E"/>
    <w:rsid w:val="00F61F51"/>
    <w:rsid w:val="00F67280"/>
    <w:rsid w:val="00F715F2"/>
    <w:rsid w:val="00F82541"/>
    <w:rsid w:val="00F83DA8"/>
    <w:rsid w:val="00F94B5D"/>
    <w:rsid w:val="00FA72AD"/>
    <w:rsid w:val="00FC6B86"/>
    <w:rsid w:val="00FD443F"/>
    <w:rsid w:val="00FD5CC0"/>
    <w:rsid w:val="00FE6C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6FBBD6"/>
  <w15:docId w15:val="{536BD84A-CF4B-4AEE-8B75-67571BCE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4F"/>
  </w:style>
  <w:style w:type="paragraph" w:styleId="Heading5">
    <w:name w:val="heading 5"/>
    <w:basedOn w:val="Normal"/>
    <w:next w:val="Normal"/>
    <w:qFormat/>
    <w:rsid w:val="0017144F"/>
    <w:pPr>
      <w:keepNext/>
      <w:outlineLvl w:val="4"/>
    </w:pPr>
    <w:rPr>
      <w:b/>
      <w:bCs/>
      <w:sz w:val="24"/>
      <w:szCs w:val="24"/>
    </w:rPr>
  </w:style>
  <w:style w:type="paragraph" w:styleId="Heading9">
    <w:name w:val="heading 9"/>
    <w:basedOn w:val="Normal"/>
    <w:next w:val="Normal"/>
    <w:qFormat/>
    <w:rsid w:val="0017144F"/>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144F"/>
    <w:pPr>
      <w:tabs>
        <w:tab w:val="center" w:pos="4320"/>
        <w:tab w:val="right" w:pos="8640"/>
      </w:tabs>
    </w:pPr>
  </w:style>
  <w:style w:type="character" w:styleId="PageNumber">
    <w:name w:val="page number"/>
    <w:basedOn w:val="DefaultParagraphFont"/>
    <w:rsid w:val="0017144F"/>
  </w:style>
  <w:style w:type="character" w:styleId="LineNumber">
    <w:name w:val="line number"/>
    <w:basedOn w:val="DefaultParagraphFont"/>
    <w:rsid w:val="0017144F"/>
  </w:style>
  <w:style w:type="paragraph" w:styleId="BalloonText">
    <w:name w:val="Balloon Text"/>
    <w:basedOn w:val="Normal"/>
    <w:link w:val="BalloonTextChar"/>
    <w:rsid w:val="00984282"/>
    <w:rPr>
      <w:rFonts w:ascii="Tahoma" w:hAnsi="Tahoma" w:cs="Tahoma"/>
      <w:sz w:val="16"/>
      <w:szCs w:val="16"/>
    </w:rPr>
  </w:style>
  <w:style w:type="character" w:customStyle="1" w:styleId="BalloonTextChar">
    <w:name w:val="Balloon Text Char"/>
    <w:basedOn w:val="DefaultParagraphFont"/>
    <w:link w:val="BalloonText"/>
    <w:rsid w:val="00984282"/>
    <w:rPr>
      <w:rFonts w:ascii="Tahoma" w:hAnsi="Tahoma" w:cs="Tahoma"/>
      <w:sz w:val="16"/>
      <w:szCs w:val="16"/>
    </w:rPr>
  </w:style>
  <w:style w:type="paragraph" w:styleId="Footer">
    <w:name w:val="footer"/>
    <w:basedOn w:val="Normal"/>
    <w:link w:val="FooterChar"/>
    <w:rsid w:val="00984282"/>
    <w:pPr>
      <w:tabs>
        <w:tab w:val="center" w:pos="4680"/>
        <w:tab w:val="right" w:pos="9360"/>
      </w:tabs>
    </w:pPr>
  </w:style>
  <w:style w:type="character" w:customStyle="1" w:styleId="FooterChar">
    <w:name w:val="Footer Char"/>
    <w:basedOn w:val="DefaultParagraphFont"/>
    <w:link w:val="Footer"/>
    <w:rsid w:val="00984282"/>
  </w:style>
  <w:style w:type="paragraph" w:styleId="BodyTextIndent">
    <w:name w:val="Body Text Indent"/>
    <w:basedOn w:val="Normal"/>
    <w:link w:val="BodyTextIndentChar"/>
    <w:rsid w:val="00A72EA2"/>
    <w:pPr>
      <w:ind w:left="720"/>
    </w:pPr>
    <w:rPr>
      <w:sz w:val="24"/>
      <w:szCs w:val="24"/>
    </w:rPr>
  </w:style>
  <w:style w:type="character" w:customStyle="1" w:styleId="BodyTextIndentChar">
    <w:name w:val="Body Text Indent Char"/>
    <w:basedOn w:val="DefaultParagraphFont"/>
    <w:link w:val="BodyTextIndent"/>
    <w:rsid w:val="00A72EA2"/>
    <w:rPr>
      <w:sz w:val="24"/>
      <w:szCs w:val="24"/>
    </w:rPr>
  </w:style>
  <w:style w:type="paragraph" w:styleId="NormalWeb">
    <w:name w:val="Normal (Web)"/>
    <w:basedOn w:val="Normal"/>
    <w:rsid w:val="00972059"/>
    <w:pPr>
      <w:spacing w:before="100" w:beforeAutospacing="1" w:after="100" w:afterAutospacing="1"/>
    </w:pPr>
    <w:rPr>
      <w:sz w:val="24"/>
      <w:szCs w:val="24"/>
    </w:rPr>
  </w:style>
  <w:style w:type="paragraph" w:styleId="ListParagraph">
    <w:name w:val="List Paragraph"/>
    <w:basedOn w:val="Normal"/>
    <w:uiPriority w:val="72"/>
    <w:rsid w:val="00307770"/>
    <w:pPr>
      <w:ind w:left="720"/>
      <w:contextualSpacing/>
    </w:pPr>
  </w:style>
  <w:style w:type="character" w:styleId="CommentReference">
    <w:name w:val="annotation reference"/>
    <w:basedOn w:val="DefaultParagraphFont"/>
    <w:semiHidden/>
    <w:unhideWhenUsed/>
    <w:rsid w:val="00381D09"/>
    <w:rPr>
      <w:sz w:val="16"/>
      <w:szCs w:val="16"/>
    </w:rPr>
  </w:style>
  <w:style w:type="paragraph" w:styleId="CommentText">
    <w:name w:val="annotation text"/>
    <w:basedOn w:val="Normal"/>
    <w:link w:val="CommentTextChar"/>
    <w:semiHidden/>
    <w:unhideWhenUsed/>
    <w:rsid w:val="00381D09"/>
  </w:style>
  <w:style w:type="character" w:customStyle="1" w:styleId="CommentTextChar">
    <w:name w:val="Comment Text Char"/>
    <w:basedOn w:val="DefaultParagraphFont"/>
    <w:link w:val="CommentText"/>
    <w:semiHidden/>
    <w:rsid w:val="00381D09"/>
  </w:style>
  <w:style w:type="paragraph" w:styleId="CommentSubject">
    <w:name w:val="annotation subject"/>
    <w:basedOn w:val="CommentText"/>
    <w:next w:val="CommentText"/>
    <w:link w:val="CommentSubjectChar"/>
    <w:semiHidden/>
    <w:unhideWhenUsed/>
    <w:rsid w:val="00381D09"/>
    <w:rPr>
      <w:b/>
      <w:bCs/>
    </w:rPr>
  </w:style>
  <w:style w:type="character" w:customStyle="1" w:styleId="CommentSubjectChar">
    <w:name w:val="Comment Subject Char"/>
    <w:basedOn w:val="CommentTextChar"/>
    <w:link w:val="CommentSubject"/>
    <w:semiHidden/>
    <w:rsid w:val="00381D09"/>
    <w:rPr>
      <w:b/>
      <w:bCs/>
    </w:rPr>
  </w:style>
  <w:style w:type="paragraph" w:styleId="FootnoteText">
    <w:name w:val="footnote text"/>
    <w:basedOn w:val="Normal"/>
    <w:link w:val="FootnoteTextChar"/>
    <w:uiPriority w:val="99"/>
    <w:unhideWhenUsed/>
    <w:rsid w:val="00787D49"/>
  </w:style>
  <w:style w:type="character" w:customStyle="1" w:styleId="FootnoteTextChar">
    <w:name w:val="Footnote Text Char"/>
    <w:basedOn w:val="DefaultParagraphFont"/>
    <w:link w:val="FootnoteText"/>
    <w:uiPriority w:val="99"/>
    <w:rsid w:val="00787D49"/>
  </w:style>
  <w:style w:type="character" w:styleId="FootnoteReference">
    <w:name w:val="footnote reference"/>
    <w:basedOn w:val="DefaultParagraphFont"/>
    <w:uiPriority w:val="99"/>
    <w:semiHidden/>
    <w:unhideWhenUsed/>
    <w:rsid w:val="00787D49"/>
    <w:rPr>
      <w:vertAlign w:val="superscript"/>
    </w:rPr>
  </w:style>
  <w:style w:type="character" w:styleId="Hyperlink">
    <w:name w:val="Hyperlink"/>
    <w:basedOn w:val="DefaultParagraphFont"/>
    <w:uiPriority w:val="99"/>
    <w:unhideWhenUsed/>
    <w:rsid w:val="00787D49"/>
    <w:rPr>
      <w:color w:val="0000FF"/>
      <w:u w:val="single"/>
    </w:rPr>
  </w:style>
  <w:style w:type="character" w:styleId="UnresolvedMention">
    <w:name w:val="Unresolved Mention"/>
    <w:basedOn w:val="DefaultParagraphFont"/>
    <w:uiPriority w:val="99"/>
    <w:semiHidden/>
    <w:unhideWhenUsed/>
    <w:rsid w:val="009C6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51F1-0A14-418C-A57F-59CE2AAE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GSGA25-B0X</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GSGA25-B0X</dc:title>
  <dc:creator>Aaron Tobiason</dc:creator>
  <cp:lastModifiedBy>Dan L</cp:lastModifiedBy>
  <cp:revision>6</cp:revision>
  <cp:lastPrinted>2018-04-26T19:59:00Z</cp:lastPrinted>
  <dcterms:created xsi:type="dcterms:W3CDTF">2021-01-21T20:02:00Z</dcterms:created>
  <dcterms:modified xsi:type="dcterms:W3CDTF">2021-02-03T20:05:00Z</dcterms:modified>
</cp:coreProperties>
</file>